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media/image1.png" ContentType="image/pn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32"/>
        </w:rPr>
      </w:pPr>
      <w:r>
        <w:rPr>
          <w:b/>
          <w:sz w:val="32"/>
        </w:rPr>
      </w:r>
    </w:p>
    <w:p>
      <w:pPr>
        <w:pStyle w:val="Normal"/>
        <w:rPr>
          <w:b/>
          <w:sz w:val="32"/>
        </w:rPr>
      </w:pPr>
      <w:r>
        <w:rPr>
          <w:b/>
          <w:sz w:val="32"/>
        </w:rPr>
        <w:t>Module 5 : 11.4. Auto-évaluation de sa démarche interculturelle</w:t>
      </w:r>
    </w:p>
    <w:p>
      <w:pPr>
        <w:pStyle w:val="Normal"/>
        <w:rPr>
          <w:b/>
          <w:color w:val="009999"/>
        </w:rPr>
      </w:pPr>
      <w:r>
        <w:rPr>
          <w:b/>
          <w:color w:val="009999"/>
          <w:lang w:val="en-US"/>
        </w:rPr>
        <w:t>Le Bihan</w:t>
      </w:r>
      <w:r>
        <w:rPr>
          <w:b/>
          <w:color w:val="009999"/>
        </w:rPr>
        <w:t xml:space="preserve">, </w:t>
      </w:r>
      <w:r>
        <w:rPr>
          <w:b/>
          <w:color w:val="009999"/>
          <w:lang w:val="en-US"/>
        </w:rPr>
        <w:t>Gwenn</w:t>
      </w:r>
    </w:p>
    <w:p>
      <w:pPr>
        <w:pStyle w:val="Normal"/>
        <w:rPr>
          <w:b/>
          <w:color w:val="009999"/>
        </w:rPr>
      </w:pPr>
      <w:r>
        <w:rPr>
          <w:b/>
          <w:color w:val="009999"/>
        </w:rPr>
      </w:r>
    </w:p>
    <w:tbl>
      <w:tblPr>
        <w:tblStyle w:val="Grilledutableau"/>
        <w:tblW w:w="9212" w:type="dxa"/>
        <w:jc w:val="left"/>
        <w:tblInd w:w="0" w:type="dxa"/>
        <w:tblLayout w:type="fixed"/>
        <w:tblCellMar>
          <w:top w:w="0" w:type="dxa"/>
          <w:left w:w="108" w:type="dxa"/>
          <w:bottom w:w="0" w:type="dxa"/>
          <w:right w:w="108" w:type="dxa"/>
        </w:tblCellMar>
        <w:tblLook w:val="04a0"/>
      </w:tblPr>
      <w:tblGrid>
        <w:gridCol w:w="9212"/>
      </w:tblGrid>
      <w:tr>
        <w:trPr/>
        <w:tc>
          <w:tcPr>
            <w:tcW w:w="9212" w:type="dxa"/>
            <w:tcBorders>
              <w:top w:val="single" w:sz="12" w:space="0" w:color="7F7F7F"/>
              <w:left w:val="single" w:sz="12" w:space="0" w:color="7F7F7F"/>
              <w:bottom w:val="single" w:sz="12" w:space="0" w:color="7F7F7F"/>
              <w:right w:val="single" w:sz="12" w:space="0" w:color="7F7F7F"/>
            </w:tcBorders>
          </w:tcPr>
          <w:p>
            <w:pPr>
              <w:pStyle w:val="Normal"/>
              <w:widowControl/>
              <w:spacing w:lineRule="auto" w:line="240" w:before="0" w:after="240"/>
              <w:rPr>
                <w:rFonts w:cs="Calibri" w:cstheme="minorHAnsi"/>
                <w:b/>
                <w:color w:val="009999"/>
                <w:sz w:val="32"/>
              </w:rPr>
            </w:pPr>
            <w:r>
              <w:rPr>
                <w:rFonts w:eastAsia="ＭＳ 明朝" w:cs="Calibri" w:cstheme="minorHAnsi"/>
                <w:b/>
                <w:color w:val="009999"/>
                <w:kern w:val="0"/>
                <w:sz w:val="32"/>
                <w:szCs w:val="22"/>
                <w:lang w:val="fr-FR" w:eastAsia="ja-JP" w:bidi="ar-SA"/>
              </w:rPr>
              <w:t>Objectif 1 : se déconditionner</w:t>
            </w:r>
          </w:p>
          <w:p>
            <w:pPr>
              <w:pStyle w:val="Normal"/>
              <w:widowControl/>
              <w:spacing w:lineRule="auto" w:line="276" w:before="0" w:after="0"/>
              <w:rPr>
                <w:rFonts w:cs="Calibri" w:cstheme="minorHAnsi"/>
                <w:sz w:val="24"/>
              </w:rPr>
            </w:pPr>
            <w:r>
              <w:rPr>
                <w:rFonts w:eastAsia="ＭＳ 明朝" w:cs="Calibri" w:cstheme="minorHAnsi"/>
                <w:kern w:val="0"/>
                <w:sz w:val="24"/>
                <w:szCs w:val="22"/>
                <w:lang w:val="fr-FR" w:eastAsia="ja-JP" w:bidi="ar-SA"/>
              </w:rPr>
              <w:t xml:space="preserve">Dans le but de réussir à communiquer, collaborer ou coopérer, il est important </w:t>
            </w:r>
            <w:r>
              <w:rPr>
                <w:rFonts w:eastAsia="ＭＳ 明朝" w:cs="Calibri" w:cstheme="minorHAnsi"/>
                <w:b/>
                <w:color w:val="009999"/>
                <w:kern w:val="0"/>
                <w:sz w:val="24"/>
                <w:szCs w:val="22"/>
                <w:lang w:val="fr-FR" w:eastAsia="ja-JP" w:bidi="ar-SA"/>
              </w:rPr>
              <w:t>d’analyser et de comprendre</w:t>
            </w:r>
            <w:r>
              <w:rPr>
                <w:rFonts w:eastAsia="ＭＳ 明朝" w:cs="Calibri" w:cstheme="minorHAnsi"/>
                <w:b/>
                <w:kern w:val="0"/>
                <w:sz w:val="24"/>
                <w:szCs w:val="22"/>
                <w:lang w:val="fr-FR" w:eastAsia="ja-JP" w:bidi="ar-SA"/>
              </w:rPr>
              <w:t xml:space="preserve"> </w:t>
            </w:r>
            <w:r>
              <w:rPr>
                <w:rFonts w:eastAsia="ＭＳ 明朝" w:cs="Calibri" w:cstheme="minorHAnsi"/>
                <w:kern w:val="0"/>
                <w:sz w:val="24"/>
                <w:szCs w:val="22"/>
                <w:lang w:val="fr-FR" w:eastAsia="ja-JP" w:bidi="ar-SA"/>
              </w:rPr>
              <w:t>son environnement de travail, les représentations symboliques qui circulent, les comportements, les discours et les attitudes de nos interlocuteurs ainsi que de faire un travail réflexif sur nos propres actions et réactions.</w:t>
            </w:r>
          </w:p>
          <w:p>
            <w:pPr>
              <w:pStyle w:val="Normal"/>
              <w:widowControl/>
              <w:spacing w:lineRule="auto" w:line="276" w:before="0" w:after="120"/>
              <w:rPr>
                <w:rFonts w:cs="Calibri" w:cstheme="minorHAnsi"/>
                <w:sz w:val="24"/>
              </w:rPr>
            </w:pPr>
            <w:r>
              <w:rPr>
                <w:rFonts w:eastAsia="ＭＳ 明朝" w:cs="Calibri" w:cstheme="minorHAnsi"/>
                <w:kern w:val="0"/>
                <w:sz w:val="24"/>
                <w:szCs w:val="22"/>
                <w:lang w:val="fr-FR" w:eastAsia="ja-JP" w:bidi="ar-SA"/>
              </w:rPr>
              <w:t>L’objectif principal d’une démarche interculturelle, dans ce contexte, est de se déconditionner, c’est‐à‐dire d’arriver à déconstruire et comprendre nos propres schéma de pensée ainsi que ceux des personnes que nous rencontrons et avec qui nous interagissons. Ces deux savoir‐faire constituent une première étape nécessaire dans le développement d’une démarche interculturelle.</w:t>
            </w:r>
          </w:p>
          <w:p>
            <w:pPr>
              <w:pStyle w:val="Normal"/>
              <w:widowControl/>
              <w:spacing w:lineRule="auto" w:line="276" w:before="0" w:after="120"/>
              <w:rPr>
                <w:rFonts w:cs="Calibri" w:cstheme="minorHAnsi"/>
                <w:sz w:val="24"/>
              </w:rPr>
            </w:pPr>
            <w:r>
              <w:rPr>
                <w:rFonts w:eastAsia="ＭＳ 明朝" w:cs="Calibri" w:cstheme="minorHAnsi"/>
                <w:kern w:val="0"/>
                <w:sz w:val="24"/>
                <w:szCs w:val="22"/>
                <w:lang w:val="fr-FR" w:eastAsia="ja-JP" w:bidi="ar-SA"/>
              </w:rPr>
              <w:t xml:space="preserve">Voici les </w:t>
            </w:r>
            <w:r>
              <w:rPr>
                <w:rFonts w:eastAsia="ＭＳ 明朝" w:cs="Calibri" w:cstheme="minorHAnsi"/>
                <w:b/>
                <w:color w:val="009999"/>
                <w:kern w:val="0"/>
                <w:sz w:val="24"/>
                <w:szCs w:val="22"/>
                <w:lang w:val="fr-FR" w:eastAsia="ja-JP" w:bidi="ar-SA"/>
              </w:rPr>
              <w:t>2 savoir-faire</w:t>
            </w:r>
            <w:r>
              <w:rPr>
                <w:rFonts w:eastAsia="ＭＳ 明朝" w:cs="Calibri" w:cstheme="minorHAnsi"/>
                <w:kern w:val="0"/>
                <w:sz w:val="24"/>
                <w:szCs w:val="22"/>
                <w:lang w:val="fr-FR" w:eastAsia="ja-JP" w:bidi="ar-SA"/>
              </w:rPr>
              <w:t xml:space="preserve"> que vous allez auto-évaluer pour ce projet objectif de la démarche interculturelle :</w:t>
            </w:r>
          </w:p>
          <w:p>
            <w:pPr>
              <w:pStyle w:val="Normal"/>
              <w:widowControl/>
              <w:spacing w:lineRule="auto" w:line="276" w:before="0" w:after="120"/>
              <w:ind w:left="708"/>
              <w:rPr>
                <w:rFonts w:cs="Calibri" w:cstheme="minorHAnsi"/>
                <w:sz w:val="24"/>
              </w:rPr>
            </w:pPr>
            <w:r>
              <w:rPr>
                <w:rFonts w:eastAsia="ＭＳ 明朝" w:cs="Calibri" w:cstheme="minorHAnsi"/>
                <w:kern w:val="0"/>
                <w:sz w:val="24"/>
                <w:szCs w:val="22"/>
                <w:lang w:val="fr-FR" w:eastAsia="ja-JP" w:bidi="ar-SA"/>
              </w:rPr>
              <w:t>1) Discerner les identifications</w:t>
            </w:r>
          </w:p>
          <w:p>
            <w:pPr>
              <w:pStyle w:val="Normal"/>
              <w:widowControl/>
              <w:spacing w:lineRule="auto" w:line="276" w:before="0" w:after="120"/>
              <w:ind w:left="708"/>
              <w:rPr>
                <w:rFonts w:cs="Calibri" w:cstheme="minorHAnsi"/>
                <w:sz w:val="24"/>
              </w:rPr>
            </w:pPr>
            <w:r>
              <w:rPr>
                <w:rFonts w:eastAsia="ＭＳ 明朝" w:cs="Calibri" w:cstheme="minorHAnsi"/>
                <w:kern w:val="0"/>
                <w:sz w:val="24"/>
                <w:szCs w:val="22"/>
                <w:lang w:val="fr-FR" w:eastAsia="ja-JP" w:bidi="ar-SA"/>
              </w:rPr>
              <w:t xml:space="preserve">2) Identifier les biais dans les discours </w:t>
            </w:r>
          </w:p>
        </w:tc>
      </w:tr>
    </w:tbl>
    <w:p>
      <w:pPr>
        <w:pStyle w:val="Normal"/>
        <w:rPr/>
      </w:pPr>
      <w:r>
        <w:rPr/>
      </w:r>
    </w:p>
    <w:p>
      <w:pPr>
        <w:pStyle w:val="Normal"/>
        <w:rPr>
          <w:b/>
          <w:color w:val="009999"/>
          <w:sz w:val="28"/>
        </w:rPr>
      </w:pPr>
      <w:r>
        <w:rPr>
          <w:b/>
          <w:color w:val="009999"/>
          <w:sz w:val="28"/>
        </w:rPr>
        <w:t>Savoir-faire n°1 : Discerner les identifications</w:t>
      </w:r>
    </w:p>
    <w:p>
      <w:pPr>
        <w:pStyle w:val="Normal"/>
        <w:rPr/>
      </w:pPr>
      <w:r>
        <w:rPr/>
        <w:t>Voici un rappel de la description du savoir-faire 1 "Discerner les identifications",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r>
    </w:p>
    <w:p>
      <w:pPr>
        <w:pStyle w:val="Normal"/>
        <w:rPr/>
      </w:pPr>
      <w:r>
        <w:rPr/>
        <w:t>La pluralité des individus n’est pas toujours visible car, dans tout contexte de rencontre, chacun sélectionne une image de soi (et de l’autre !) et la présente aux autres. De même, la classification par la nationalité est très courante dans les relations interculturelles (c’est souvent un point de départ ; une ouverture vers l’autre).</w:t>
      </w:r>
    </w:p>
    <w:p>
      <w:pPr>
        <w:pStyle w:val="Normal"/>
        <w:rPr/>
      </w:pPr>
      <w:r>
        <w:rPr/>
        <w:t xml:space="preserve">Dans de véritables contextes de rencontres, faire remarquer ou souligner à quelqu’un qu’il utilise des auto- ou hétéro-stéréotypes (« nous les Français on fait toujours comme cela »), peut poser des problèmes : on peut passer pour un moraliste, ou simplement pour quelqu’un de peu plaisant. Plusieurs options sont alors disponibles : jouer le jeu du stéréotypage, mettre fin à la conversation, ou discuter du stéréotype. Un autre problème touche également au respect de la liberté qu’a l’autre de se définir comme </w:t>
      </w:r>
      <w:r>
        <w:rPr>
          <w:lang w:val="en-US"/>
        </w:rPr>
        <w:t>ie</w:t>
      </w:r>
      <w:r>
        <w:rPr>
          <w:lang w:val="en-US"/>
        </w:rPr>
        <w:t>l</w:t>
      </w:r>
      <w:r>
        <w:rPr/>
        <w:t xml:space="preserve"> le veut, même par le biais de stéréotypes.</w:t>
      </w:r>
    </w:p>
    <w:p>
      <w:pPr>
        <w:pStyle w:val="Normal"/>
        <w:rPr/>
      </w:pPr>
      <w:r>
        <w:rPr/>
        <w:t>En outre, même si l’on est conscient de ces actes d’identification, on n’a pas toujours la possibilité de les éviter soi-même (cf. l’exemple de situations de violence symbolique où l’on ne peut dire/agir comme on le souhaiterait et sans perdre la face).</w:t>
      </w:r>
    </w:p>
    <w:p>
      <w:pPr>
        <w:pStyle w:val="Normal"/>
        <w:rPr/>
      </w:pPr>
      <w:r>
        <w:rPr/>
        <w:t>Dans une réflexion postérieure, je peux, toutefois, me demander pourquoi mon interlocuteur et moi-même avons eu recours à des stéréotypes par exemple.</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J'ai conscience du fait que chaque personne (moi y compris) est multiple et divers (</w:t>
            </w:r>
            <w:r>
              <w:rPr>
                <w:rFonts w:eastAsia="ＭＳ 明朝" w:cs=""/>
                <w:kern w:val="0"/>
                <w:sz w:val="24"/>
                <w:szCs w:val="22"/>
                <w:lang w:val="en-US" w:eastAsia="ja-JP" w:bidi="ar-SA"/>
              </w:rPr>
              <w:t>sexe, genre</w:t>
            </w:r>
            <w:r>
              <w:rPr>
                <w:rFonts w:eastAsia="ＭＳ 明朝" w:cs=""/>
                <w:kern w:val="0"/>
                <w:sz w:val="24"/>
                <w:szCs w:val="22"/>
                <w:lang w:val="fr-FR" w:eastAsia="ja-JP" w:bidi="ar-SA"/>
              </w:rPr>
              <w:t xml:space="preserve">, âge, religion, statut dans la société, etc.).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J'ai conscience que chaque personne interagissant peut s’adapter aux discours, aux contextes de communication et à ses interlocuteurs en présentant une identité groupale ou nationale (pour faire plaisir, pour confirmer une représentation que l’autre a de son pays ou pour se défendre).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Je possède les outils théoriques qui me permettent de remarquer des indices d’identification dans mes propos et dans celui de </w:t>
            </w:r>
            <w:r>
              <w:rPr>
                <w:rFonts w:eastAsia="ＭＳ 明朝" w:cs=""/>
                <w:kern w:val="0"/>
                <w:sz w:val="24"/>
                <w:szCs w:val="22"/>
                <w:lang w:val="en-US" w:eastAsia="ja-JP" w:bidi="ar-SA"/>
              </w:rPr>
              <w:t>l’</w:t>
            </w:r>
            <w:r>
              <w:rPr>
                <w:rFonts w:eastAsia="ＭＳ 明朝" w:cs=""/>
                <w:kern w:val="0"/>
                <w:sz w:val="24"/>
                <w:szCs w:val="22"/>
                <w:lang w:val="en-US" w:eastAsia="ja-JP" w:bidi="ar-SA"/>
              </w:rPr>
              <w:t>au</w:t>
            </w:r>
            <w:r>
              <w:rPr>
                <w:rFonts w:eastAsia="ＭＳ 明朝" w:cs=""/>
                <w:kern w:val="0"/>
                <w:sz w:val="24"/>
                <w:szCs w:val="22"/>
                <w:lang w:val="en-US" w:eastAsia="ja-JP" w:bidi="ar-SA"/>
              </w:rPr>
              <w:t>tre</w:t>
            </w:r>
            <w:r>
              <w:rPr>
                <w:rFonts w:eastAsia="ＭＳ 明朝" w:cs=""/>
                <w:kern w:val="0"/>
                <w:sz w:val="24"/>
                <w:szCs w:val="22"/>
                <w:lang w:val="fr-FR" w:eastAsia="ja-JP" w:bidi="ar-SA"/>
              </w:rPr>
              <w:t>.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fais l’effort, quand j’en ai la possibilité, de ne pas me présenter à travers un stéréotype, et de ne pas réduire mon interlocuteur à des stéréotypes.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C’est quelque chose que je n’ai pas eu à vivre personnellement parce que je m’en sors plutôt bien et je n’en ai donc pas besoin, mais les personnes transgenres ont parfois besoins de performer le genre opposé afin d’éviter des stigmatisations voir par peur d’aggressions, en particulier au début d’une transition, où l’apparence physique est incertaine et difficile. Pour les personnes transféminines, ont parle de “boymodding”, c’est à dire s’habiller comme un homme. Et effectivement, tant que l’on ne performe pas parfaitement notre genre, les regards en coin, les rires, etc sont communs (j’ai personnellement réussi à m’en détacher assez, et ça me fait rire plus qu’autre chose, mais c’est bien évidemment pas le cas de tout le monde)</w:t>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repérer la façon dont vous vous mettez en scène* (par vos propos, vos comportements ou vos attitudes) ou vos interlocuteurs se mettent en scène* dans le cadre d’interactions,</w:t>
      </w:r>
    </w:p>
    <w:p>
      <w:pPr>
        <w:pStyle w:val="Normal"/>
        <w:rPr/>
      </w:pPr>
      <w:r>
        <w:rPr/>
        <w:t>- et pour mettre en place des stratégies permettant d’éviter de vous présenter à travers un stéréotype ou de ne réduire vos interlocuteurs qu’à des stéréotypes.</w:t>
      </w:r>
    </w:p>
    <w:p>
      <w:pPr>
        <w:pStyle w:val="Normal"/>
        <w:rPr/>
      </w:pPr>
      <w:r>
        <w:rPr/>
        <w:t>*</w:t>
      </w:r>
      <w:r>
        <w:rPr>
          <w:i/>
        </w:rPr>
        <w:t>Le verbe « se mettre en scène » employé ici ne signifie pas ne pas être naturel lorsque nous interagissons avec d’autres personnes, mais traduit un processus inconscient où nous nous adaptons en permanence à nos interlocuteurs. Et en fonction du contexte, nous ne montrons pas toujours les mêmes facettes de nous-mêmes (nous piochons parmi les éléments constituant notre identité plurielle).</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Il faut garder en tête cette réalité de la pluralité des identités, et du fait que, rien que part notre appartenance possible à plusieurs groupes différents, il est impossible de résumer une personne à l’appartenance d’un unique groupe duquel elle se met en scène. Il faut aussi respecter ces mises en scènes et ne pas reprocher à la personne de le faire, il y a souvent une raison derrière.</w:t>
      </w:r>
    </w:p>
    <w:p>
      <w:pPr>
        <w:pStyle w:val="Normal"/>
        <w:rPr/>
      </w:pPr>
      <w:r>
        <w:rPr/>
      </w:r>
    </w:p>
    <w:p>
      <w:pPr>
        <w:pStyle w:val="Normal"/>
        <w:rPr>
          <w:b/>
          <w:color w:val="009999"/>
          <w:sz w:val="28"/>
        </w:rPr>
      </w:pPr>
      <w:r>
        <w:rPr>
          <w:b/>
          <w:color w:val="009999"/>
          <w:sz w:val="28"/>
        </w:rPr>
        <w:t>Savoir-faire n°2 : Identifier les biais dans les discours</w:t>
      </w:r>
    </w:p>
    <w:p>
      <w:pPr>
        <w:pStyle w:val="Normal"/>
        <w:rPr/>
      </w:pPr>
      <w:r>
        <w:rPr/>
        <w:t>Voici un rappel de la description du savoir-faire 2 "Identifier les biais dans les discours" (Prêter attention aux discours), ainsi que de la réflexion proposée en complément.</w:t>
      </w:r>
    </w:p>
    <w:p>
      <w:pPr>
        <w:pStyle w:val="Normal"/>
        <w:rPr>
          <w:b/>
          <w:color w:val="009999"/>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C’est ici que les compétences langagières peuvent avoir une grosse influence sur mes compétences interculturelles car, en effet, on ne peut pas toujours contrôler tous les sens et les nuances dans une langue étrangère et donc choquer son interlocuteur sans le savoir (ou bien tel mot ou telle expression peuvent avoir une valeur affective pour mon interlocuteur). Quelle(s) stratégie(s) adopter alors soit pour éviter soit pour décrisper ces situations ?</w:t>
      </w:r>
    </w:p>
    <w:p>
      <w:pPr>
        <w:pStyle w:val="Normal"/>
        <w:rPr/>
      </w:pPr>
      <w:r>
        <w:rPr/>
        <w:t>Également, l’autre peut avoir un rôle à jouer dans la création de discours négatifs. Comment contrôler par exemple son besoin d’exotisme et de différence lorsqu’il communique avec moi (phénomènes qui ont affaire avec une certaine sensibilité et un certain état d’esprit)? Ou alors comment réagir lorsqu’il y a des enjeux ou une relation hiérarchique établie entrenous deux et recours par exemple à un argument xénophobe par mon interlocuteur?</w:t>
      </w:r>
    </w:p>
    <w:p>
      <w:pPr>
        <w:pStyle w:val="Normal"/>
        <w:rPr/>
      </w:pPr>
      <w:r>
        <w:rPr/>
        <w:t>Même si j’ai un discours d’ « ouverture interculturelle » (ou bien mon interlocuteur), je suis conscient que le discours résultant ne correspond pas toujours à la réalité de discours ou d’actes ultérieurs.</w:t>
      </w:r>
    </w:p>
    <w:p>
      <w:pPr>
        <w:pStyle w:val="Normal"/>
        <w:rPr>
          <w:b/>
          <w:color w:val="009999"/>
          <w:sz w:val="28"/>
        </w:rPr>
      </w:pPr>
      <w:r>
        <w:rPr>
          <w:b/>
          <w:color w:val="009999"/>
          <w:sz w:val="28"/>
        </w:rPr>
        <w:t>QUESTION 1</w:t>
      </w:r>
    </w:p>
    <w:p>
      <w:pPr>
        <w:pStyle w:val="Normal"/>
        <w:rPr/>
      </w:pPr>
      <w:r>
        <w:rPr/>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fais un effort pour écouter les discours que je traverse (les miens et ceux des autres) et qui sont potentiellement ethnocentriques, xénophobes, racistes, mais aussi exotiques et xénophiles. Je sais comment les atténuer (par l’utilisation de modalités par exemple) ou les éviter le plus possible. Je sais que je ne peux pas contrôler le discours de l’autre, mais je peux essayer de discuter avec lui respectueusement à propos de son discours.</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J’essaie également d’éviter un discours naïf sur l’interculturel tel que « je n’ai pas de stéréotypes » (car on ne peut pas ne pas en avoir !), un discours paradoxal (« je ne crois pas aux stéréotypes mais les Finlandais sont… ») ou interculturellement correct (« cet étranger ne me traite pas correctement mais je fais un effort car c’est un étranger »).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p>
    <w:p>
      <w:pPr>
        <w:pStyle w:val="Normal"/>
        <w:rPr>
          <w:lang w:val="en-US"/>
        </w:rPr>
      </w:pPr>
      <w:r>
        <w:rPr>
          <w:lang w:val="en-US"/>
        </w:rPr>
        <w:t xml:space="preserve">Depuis le réveil du grand public au génocide Palestinien, un immonde amalgame entre gouvernenment israëlien et personnes de confession juive s’est créé, en particulier sur Internet. Il est assez commun de tomber sur des reels Instagram où la section commentaire profite de l’opinion public sur Israël pour déverser un antisémitisme décomplexé. C’est une ligne importante à tenir, et pour cela, une connaissance du langage codé nazi (on parle de </w:t>
      </w:r>
      <w:r>
        <w:rPr>
          <w:i/>
          <w:iCs/>
          <w:lang w:val="en-US"/>
        </w:rPr>
        <w:t>dog whistles</w:t>
      </w:r>
      <w:r>
        <w:rPr>
          <w:i w:val="false"/>
          <w:iCs w:val="false"/>
          <w:lang w:val="en-US"/>
        </w:rPr>
        <w:t>) est utile: certains emojis au sens détourné (“juice”, “nez”, etc),  codes (“88”, etc), et autres. Ce savoir peut s’acquérir à l’aide de vidéo-documentaires, par exemple. Malheureusement, le recours est assez maigre sur Internet, mise à part signaler à la plateforme, il n’y a pas grand chose à faire.</w:t>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atténuer ou éviter les discours potentiellement ethnocentriques, xénophobes, racistes, exotiques ou xénophiles, et essayer d’en discuter respectueusement avec ses interlocuteurs,</w:t>
      </w:r>
    </w:p>
    <w:p>
      <w:pPr>
        <w:pStyle w:val="Normal"/>
        <w:rPr/>
      </w:pPr>
      <w:r>
        <w:rPr/>
        <w:t>- pour éviter un discours naïf (je n’ai pas de stéréotype), paradoxal (je ne crois pas aux stéréotypes, mais…) ou trop « bien pensant » (je fais un effort car c’est un étranger) sur l’interculturel.</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pPr>
      <w:r>
        <w:rPr/>
      </w:r>
    </w:p>
    <w:p>
      <w:pPr>
        <w:pStyle w:val="Normal"/>
        <w:rPr>
          <w:i w:val="false"/>
          <w:i w:val="false"/>
          <w:iCs w:val="false"/>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J’ai une fois eu une discussion assez profonde avec quelqu’un qui était visiblement xénophobe </w:t>
      </w:r>
      <w:r>
        <w:rPr>
          <w:i/>
          <w:iCs/>
          <w:color w:val="009999"/>
          <w:lang w:val="en-US"/>
        </w:rPr>
        <w:t>par idéologie</w:t>
      </w:r>
      <w:r>
        <w:rPr>
          <w:i w:val="false"/>
          <w:iCs w:val="false"/>
          <w:color w:val="009999"/>
          <w:lang w:val="en-US"/>
        </w:rPr>
        <w:t xml:space="preserve">, et on en arrive souvent à une croyance essentialiste qui attribue bien trop de choses à l’ADN et à la nature. Il est important de rappeler la réalité scientifique: la quasi totalité d’une personne est décidée par des choses sociales, qui ne sont pas rattachables à des caractéristiques biologiques, mais plutôt à l’environnement socio-culturel dans lequel la personne évolue. Les xénophobes </w:t>
      </w:r>
      <w:r>
        <w:rPr>
          <w:i/>
          <w:iCs/>
          <w:color w:val="009999"/>
          <w:lang w:val="en-US"/>
        </w:rPr>
        <w:t>par émotion</w:t>
      </w:r>
      <w:r>
        <w:rPr>
          <w:i w:val="false"/>
          <w:iCs w:val="false"/>
          <w:color w:val="009999"/>
          <w:lang w:val="en-US"/>
        </w:rPr>
        <w:t xml:space="preserve"> peuvent parfois être raisonné·es en montrant que leurs craintes sont infondées (j’avais vu passer un reportage sur comment CNEWS fabrique de l’islamophobie en faisant des sujets sur “la disparition des restaurants de gastronomie française face au kebabs”… alors que le nombre de kebabs en france est stable depuis des années et qu’il y a quelque chose comme 10 fois plus de restaurants de gastronomie française que de kebabs). Dans les deux cas, c’est malheureusement assez compliqué, d’autant plus si l’on est vu comme “une personne de gauche”, beaucoup se ferment à tout débat.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Style w:val="Grilledutableau"/>
        <w:tblW w:w="9212" w:type="dxa"/>
        <w:jc w:val="left"/>
        <w:tblInd w:w="0" w:type="dxa"/>
        <w:tblLayout w:type="fixed"/>
        <w:tblCellMar>
          <w:top w:w="0" w:type="dxa"/>
          <w:left w:w="108" w:type="dxa"/>
          <w:bottom w:w="0" w:type="dxa"/>
          <w:right w:w="108" w:type="dxa"/>
        </w:tblCellMar>
        <w:tblLook w:val="04a0"/>
      </w:tblPr>
      <w:tblGrid>
        <w:gridCol w:w="9212"/>
      </w:tblGrid>
      <w:tr>
        <w:trPr/>
        <w:tc>
          <w:tcPr>
            <w:tcW w:w="9212" w:type="dxa"/>
            <w:tcBorders>
              <w:top w:val="single" w:sz="12" w:space="0" w:color="7F7F7F"/>
              <w:left w:val="single" w:sz="12" w:space="0" w:color="7F7F7F"/>
              <w:bottom w:val="single" w:sz="12" w:space="0" w:color="7F7F7F"/>
              <w:right w:val="single" w:sz="12" w:space="0" w:color="7F7F7F"/>
            </w:tcBorders>
          </w:tcPr>
          <w:p>
            <w:pPr>
              <w:pStyle w:val="Normal"/>
              <w:widowControl/>
              <w:spacing w:lineRule="auto" w:line="240" w:before="0" w:after="240"/>
              <w:rPr>
                <w:b/>
                <w:color w:val="009999"/>
                <w:sz w:val="32"/>
              </w:rPr>
            </w:pPr>
            <w:r>
              <w:rPr>
                <w:rFonts w:eastAsia="ＭＳ 明朝" w:cs=""/>
                <w:b/>
                <w:color w:val="009999"/>
                <w:kern w:val="0"/>
                <w:sz w:val="32"/>
                <w:szCs w:val="22"/>
                <w:lang w:val="fr-FR" w:eastAsia="ja-JP" w:bidi="ar-SA"/>
              </w:rPr>
              <w:t>Objectif 2 : se décentrer</w:t>
            </w:r>
          </w:p>
          <w:p>
            <w:pPr>
              <w:pStyle w:val="Normal"/>
              <w:widowControl/>
              <w:spacing w:lineRule="auto" w:line="276" w:before="0" w:after="120"/>
              <w:rPr>
                <w:sz w:val="24"/>
              </w:rPr>
            </w:pPr>
            <w:r>
              <w:rPr>
                <w:rFonts w:eastAsia="ＭＳ 明朝" w:cs=""/>
                <w:kern w:val="0"/>
                <w:sz w:val="24"/>
                <w:szCs w:val="22"/>
                <w:lang w:val="fr-FR" w:eastAsia="ja-JP" w:bidi="ar-SA"/>
              </w:rPr>
              <w:t xml:space="preserve">L’étape suivante, concerne plus particulièrement les situations de collaboration, de coopération et de gestion de projet, mais aussi les travaux en équipe durant la formation. Cela consiste à faire </w:t>
            </w:r>
            <w:r>
              <w:rPr>
                <w:rFonts w:eastAsia="ＭＳ 明朝" w:cs=""/>
                <w:b/>
                <w:color w:val="009999"/>
                <w:kern w:val="0"/>
                <w:sz w:val="24"/>
                <w:szCs w:val="22"/>
                <w:lang w:val="fr-FR" w:eastAsia="ja-JP" w:bidi="ar-SA"/>
              </w:rPr>
              <w:t>un travail de décentrement et de négociation</w:t>
            </w:r>
            <w:r>
              <w:rPr>
                <w:rFonts w:eastAsia="ＭＳ 明朝" w:cs=""/>
                <w:kern w:val="0"/>
                <w:sz w:val="24"/>
                <w:szCs w:val="22"/>
                <w:lang w:val="fr-FR" w:eastAsia="ja-JP" w:bidi="ar-SA"/>
              </w:rPr>
              <w:t xml:space="preserve"> afin de prendre en compte la pluralité des points de vue et des méthodes de travail. L’objectif ici, est de s’appuyer sur cette diversité et ce précédent travail analytique pour co-construire une vision collective d’un projet.</w:t>
            </w:r>
          </w:p>
          <w:p>
            <w:pPr>
              <w:pStyle w:val="Normal"/>
              <w:widowControl/>
              <w:spacing w:lineRule="auto" w:line="276" w:before="0" w:after="120"/>
              <w:rPr>
                <w:sz w:val="24"/>
              </w:rPr>
            </w:pPr>
            <w:r>
              <w:rPr>
                <w:rFonts w:eastAsia="ＭＳ 明朝" w:cs=""/>
                <w:kern w:val="0"/>
                <w:sz w:val="24"/>
                <w:szCs w:val="22"/>
                <w:lang w:val="fr-FR" w:eastAsia="ja-JP" w:bidi="ar-SA"/>
              </w:rPr>
              <w:t xml:space="preserve">Voici les </w:t>
            </w:r>
            <w:r>
              <w:rPr>
                <w:rFonts w:eastAsia="ＭＳ 明朝" w:cs=""/>
                <w:b/>
                <w:color w:val="009999"/>
                <w:kern w:val="0"/>
                <w:sz w:val="24"/>
                <w:szCs w:val="22"/>
                <w:lang w:val="fr-FR" w:eastAsia="ja-JP" w:bidi="ar-SA"/>
              </w:rPr>
              <w:t>2 savoir-faire et savoir-réagir/agir</w:t>
            </w:r>
            <w:r>
              <w:rPr>
                <w:rFonts w:eastAsia="ＭＳ 明朝" w:cs=""/>
                <w:kern w:val="0"/>
                <w:sz w:val="24"/>
                <w:szCs w:val="22"/>
                <w:lang w:val="fr-FR" w:eastAsia="ja-JP" w:bidi="ar-SA"/>
              </w:rPr>
              <w:t xml:space="preserve"> que vous allez auto-évaluer pour ce projet objectif de la démarche interculturelle :</w:t>
            </w:r>
          </w:p>
          <w:p>
            <w:pPr>
              <w:pStyle w:val="Normal"/>
              <w:widowControl/>
              <w:spacing w:lineRule="auto" w:line="276" w:before="0" w:after="120"/>
              <w:ind w:left="708"/>
              <w:rPr>
                <w:sz w:val="24"/>
              </w:rPr>
            </w:pPr>
            <w:r>
              <w:rPr>
                <w:rFonts w:eastAsia="ＭＳ 明朝" w:cs=""/>
                <w:kern w:val="0"/>
                <w:sz w:val="24"/>
                <w:szCs w:val="22"/>
                <w:lang w:val="fr-FR" w:eastAsia="ja-JP" w:bidi="ar-SA"/>
              </w:rPr>
              <w:t>1)  Savoir-réagir/agir : contrôler ses émotions/ses discours</w:t>
            </w:r>
          </w:p>
          <w:p>
            <w:pPr>
              <w:pStyle w:val="Normal"/>
              <w:widowControl/>
              <w:spacing w:lineRule="auto" w:line="276" w:before="0" w:after="120"/>
              <w:ind w:left="708"/>
              <w:rPr>
                <w:sz w:val="24"/>
              </w:rPr>
            </w:pPr>
            <w:r>
              <w:rPr>
                <w:rFonts w:eastAsia="ＭＳ 明朝" w:cs=""/>
                <w:kern w:val="0"/>
                <w:sz w:val="24"/>
                <w:szCs w:val="22"/>
                <w:lang w:val="fr-FR" w:eastAsia="ja-JP" w:bidi="ar-SA"/>
              </w:rPr>
              <w:t>2) Savoir-faire : prendre en compte la pluralité des points de vue</w:t>
            </w:r>
          </w:p>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pPr>
      <w:r>
        <w:rPr/>
      </w:r>
    </w:p>
    <w:p>
      <w:pPr>
        <w:pStyle w:val="Normal"/>
        <w:rPr>
          <w:b/>
          <w:color w:val="009999"/>
          <w:sz w:val="28"/>
        </w:rPr>
      </w:pPr>
      <w:r>
        <w:rPr>
          <w:b/>
          <w:color w:val="009999"/>
          <w:sz w:val="28"/>
        </w:rPr>
        <w:t>Savoir-réagir/agir n°1 : Contrôler ses émotions et ses discours</w:t>
      </w:r>
    </w:p>
    <w:p>
      <w:pPr>
        <w:pStyle w:val="Normal"/>
        <w:rPr/>
      </w:pPr>
      <w:r>
        <w:rPr/>
        <w:t>Voici un rappel de la description du savoir-réagir/agir n°1 "Contrôler ses émotions et ses discours",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Comment contrôler ses émotions dans des situations difficiles ? Quelles stratégies développer pour éviter des réactions qui ne feraient qu’empirer la situation ?</w:t>
      </w:r>
    </w:p>
    <w:p>
      <w:pPr>
        <w:pStyle w:val="Normal"/>
        <w:rPr/>
      </w:pPr>
      <w:r>
        <w:rPr/>
        <w:t>Comment faire face également aux sentiments de déjà-vus, déjà-vécus, déjà-sentis, déjà-dits… et la polyphonie afférente qui peuvent m’influencer dans ma perception de l’autre (ex : un individu me rappelle une personne que je n’apprécie guère, par son accent dans ma langue maternelle)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Dans des situations délicates ou pénibles, situations de malentendus ou discordes, je fais l’effort de me rappeler que les individus sont des êtres humains et qu’ils ont donc des émotions, des sentiments, et qu’ils peuvent être de bonne et de mauvaise humeur et avoir des problèmes personnels, qui influencent leurs réactions.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J’évite donc de tirer des conclusions hâtives culturalistes et stéréotypées à partir de ces situations (ex : les Espagnols sont antipathiques).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Récemment, lors d’une discussion à un local associatif sur le rapport aux parents au fur et à mesure que l’on grandit, je me suis montrée assez étonnée par le comportement “sur-protecteur” de la mère d’une amie: elle exige de passer un appel téléphonique avec elle deux fois par jour, et on était assez tard le soir (on faisait un “h24”, c-à-d passer une nuit entière au local associatif à travailler sur des projets). Elle avait peur d’appeler sa mère sous peine de représailles (“ma mère va me tuer si je l’appelle maintenant et que je ne suis pas chez moi”).</w:t>
      </w:r>
    </w:p>
    <w:p>
      <w:pPr>
        <w:pStyle w:val="Normal"/>
        <w:rPr>
          <w:color w:val="009999"/>
          <w:lang w:val="en-US"/>
        </w:rPr>
      </w:pPr>
      <w:r>
        <w:rPr>
          <w:color w:val="009999"/>
          <w:lang w:val="en-US"/>
        </w:rPr>
        <w:t>J’ai répondu en disant quelque chose comme “mais t’a quel âge? Fin on fait ce qu’on veut au bout d’un moment non?”</w:t>
      </w:r>
    </w:p>
    <w:p>
      <w:pPr>
        <w:pStyle w:val="Normal"/>
        <w:rPr>
          <w:color w:val="009999"/>
          <w:lang w:val="en-US"/>
        </w:rPr>
      </w:pPr>
      <w:r>
        <w:rPr>
          <w:color w:val="009999"/>
          <w:lang w:val="en-US"/>
        </w:rPr>
        <w:t>Et c’est là qu’un autre membre de l’association m’a répondu (sur un ton léger) “c’est un peu un comportement de colon cette réponse”.</w:t>
      </w:r>
    </w:p>
    <w:p>
      <w:pPr>
        <w:pStyle w:val="Normal"/>
        <w:rPr>
          <w:color w:val="009999"/>
          <w:lang w:val="en-US"/>
        </w:rPr>
      </w:pPr>
      <w:r>
        <w:rPr>
          <w:color w:val="009999"/>
          <w:lang w:val="en-US"/>
        </w:rPr>
        <w:t>Il se trouve que la culture du “cordon familial” est bien plus marquée au Maroc et en Algérie qu’en France, et j’ai, sans trop réfléchir, appliqué mon biais culturel sur une situation impliquant une culture que je ne connais pas.</w:t>
      </w:r>
    </w:p>
    <w:p>
      <w:pPr>
        <w:pStyle w:val="Normal"/>
        <w:rPr>
          <w:color w:val="009999"/>
        </w:rPr>
      </w:pPr>
      <w:r>
        <w:rPr>
          <w:color w:val="009999"/>
          <w:lang w:val="en-US"/>
        </w:rPr>
        <w:t>En rapport avec mes réponses précédentes, (exercice 8.3 du module 3), cette situation illustre aussi comment ces écueils culturels ne doivent pas être une barrière à la discussion, puisque l’on m’a fait savoir mon biais sur un ton léger, sans plomber l’ambiance, mais tout en me permettant de garder en tête l’interaction pour la prendre en compte et ne plus faire la même erreur plus tard.</w:t>
      </w:r>
    </w:p>
    <w:p>
      <w:pPr>
        <w:pStyle w:val="Normal"/>
        <w:rPr/>
      </w:pPr>
      <w:r>
        <w:rPr/>
      </w:r>
    </w:p>
    <w:p>
      <w:pPr>
        <w:pStyle w:val="Normal"/>
        <w:rPr/>
      </w:pPr>
      <w:r>
        <w:rPr/>
      </w:r>
    </w:p>
    <w:p>
      <w:pPr>
        <w:pStyle w:val="Normal"/>
        <w:rPr/>
      </w:pPr>
      <w:r>
        <w:rPr/>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faire l’effort de me rappeler que nous sommes toutes et tous des êtres humains avec nos propres émotions, humeurs, sentiments et problèmes personnels qui peuvent influer sur nos propos, comportements ou attitudes,</w:t>
      </w:r>
    </w:p>
    <w:p>
      <w:pPr>
        <w:pStyle w:val="Normal"/>
        <w:rPr/>
      </w:pPr>
      <w:r>
        <w:rPr/>
        <w:t>- pour éviter de tirer des conclusions hâtives et stéréotypées en généralisant un comportement ou une attitude d’une personne à un moment donné à l’ensemble d’un groupe social ou culturel.</w:t>
      </w:r>
    </w:p>
    <w:p>
      <w:pPr>
        <w:pStyle w:val="Normal"/>
        <w:rPr/>
      </w:pPr>
      <w:r>
        <w:rPr/>
        <w:t>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w:t>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il faut continuer à discuter avec tout le monde, ne pas laisser nos peurs, sourcées dans des stéréotypes, limiter nos interactions sociales avec d’autres groupes socio-culturels. Il faut se nourrir de nos expériences positives que l’on va forcément tirer de ces interactions là pour contre-carrer d’éventuelles expériences négatives. Et ne jamais oublier que nous somme toustes avant tout des personnes, pas des représentant de groupes socio-culturels.</w:t>
      </w:r>
    </w:p>
    <w:p>
      <w:pPr>
        <w:pStyle w:val="Normal"/>
        <w:rPr>
          <w:color w:val="009999"/>
        </w:rPr>
      </w:pPr>
      <w:r>
        <w:rPr>
          <w:color w:val="009999"/>
        </w:rPr>
      </w:r>
    </w:p>
    <w:p>
      <w:pPr>
        <w:pStyle w:val="Normal"/>
        <w:rPr/>
      </w:pPr>
      <w:r>
        <w:rPr/>
      </w:r>
    </w:p>
    <w:p>
      <w:pPr>
        <w:pStyle w:val="Normal"/>
        <w:rPr/>
      </w:pPr>
      <w:r>
        <w:rPr/>
      </w:r>
    </w:p>
    <w:p>
      <w:pPr>
        <w:pStyle w:val="Normal"/>
        <w:rPr>
          <w:b/>
          <w:color w:val="009999"/>
          <w:sz w:val="32"/>
        </w:rPr>
      </w:pPr>
      <w:r>
        <w:rPr>
          <w:b/>
          <w:color w:val="009999"/>
          <w:sz w:val="28"/>
        </w:rPr>
        <w:t>Savoir-faire n°3 : Prendre en compte la pluralité des points de vue</w:t>
      </w:r>
    </w:p>
    <w:p>
      <w:pPr>
        <w:pStyle w:val="Normal"/>
        <w:rPr/>
      </w:pPr>
      <w:r>
        <w:rPr/>
        <w:t>Voici un rappel de la description du savoir-faire 3 "Prendre en compte la pluralité des points de vue",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Il s’agit d’éviter de penser que mes interlocuteurs, et plus particulièrement ceux en minorité (linguistique, nationale…) sont ceux qui doivent faire l’effort de s’intégrer.</w:t>
      </w:r>
    </w:p>
    <w:p>
      <w:pPr>
        <w:pStyle w:val="Normal"/>
        <w:rPr/>
      </w:pPr>
      <w:r>
        <w:rPr/>
        <w:t>Quelles stratégies développer pour co-construire collectivement une vision collective du projet et une méthode de travail qui s’appuie sur les compétences de chacune et chacun ?</w:t>
      </w:r>
    </w:p>
    <w:p>
      <w:pPr>
        <w:pStyle w:val="Normal"/>
        <w:rPr/>
      </w:pPr>
      <w:r>
        <w:rPr/>
        <w:t>Comment gérer l’incertitude inhérente à tout projet collectif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J’ai conscience que dans des situations de collaboration ou de coopération, ou dans le cadre d’un projet mené collectivement, je suis amené à travailler avec des interlocuteurs qui ont des points de vue différents du mien sur divers sujets. Mes interlocuteurs peuvent venir de secteurs d’activité, de spécialités, de disciplines scientifiques ou encore de métiers différents du mien. Ils peuvent aborder un problème ou une question scientifique différemment que moi, avoir d’autres idées, ainsi que des méthodes de travail différentes, qui leur sont personnelles, et pas nécessairement liées à une identité groupale ou nationale.</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Dans le cas où ces situations sont traversées par des malentendus ou des discordes, j’essaye de ne pas considérer mon point de vue, et mes arguments, comme la meilleure solution (voire la seule !) pour résoudre un problème. J’ai conscience que ce que je considère comme étant juste ne relève pas de la Vérité, mais relève d’un avis subjectif se fondant sur mes souvenirs et mes expériences passées, ou sur des informations qui m’ont été transmises (ex. : durant la formation, dans le cadre d’activités associatives, de stage, de mon environnement familial et social…).</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2"/>
                <w:szCs w:val="22"/>
                <w:lang w:val="fr-FR" w:eastAsia="ja-JP" w:bidi="ar-SA"/>
              </w:rPr>
              <w:t>Je fais l’effort d’être à l’écoute des autres, sans tirer de conclusions hâtives, plutôt que d’insister sur la seule validité de mon raisonnement. J’ai la volonté de partager nos opinions respectives, et de travailler avec mes interlocuteurs pour trouver une solution collectivement.</w:t>
            </w:r>
          </w:p>
        </w:tc>
        <w:tc>
          <w:tcPr>
            <w:tcW w:w="56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2"/>
                <w:szCs w:val="22"/>
                <w:lang w:val="en-US" w:eastAsia="ja-JP" w:bidi="ar-SA"/>
              </w:rPr>
            </w:pPr>
            <w:r>
              <w:rPr>
                <w:rFonts w:eastAsia="ＭＳ 明朝" w:cs=""/>
                <w:kern w:val="0"/>
                <w:sz w:val="22"/>
                <w:szCs w:val="22"/>
                <w:lang w:val="en-US" w:eastAsia="ja-JP" w:bidi="ar-SA"/>
              </w:rPr>
              <w:t>x</w:t>
            </w:r>
          </w:p>
        </w:tc>
        <w:tc>
          <w:tcPr>
            <w:tcW w:w="740"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pPr>
      <w:r>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Je développe en ce moment une application web d’appui à la recherche en entomologie, et je suis en contact avec ses quelques utilisateur·ice·s, sur un serveur discord. Notamment, elles peuvent signaler des problèmes ou proposer de nouvelles fonctionnalités. C’est un public non technique, qui ne connait pas le monde du développement, mais cela n’informe en rien mes décisions d’implémenter ou non une fonctionnalité proposée. La réponse “mais ce n’est pas un bug” n’est </w:t>
      </w:r>
      <w:r>
        <w:rPr>
          <w:i/>
          <w:iCs/>
          <w:color w:val="009999"/>
          <w:lang w:val="en-US"/>
        </w:rPr>
        <w:t>jamais</w:t>
      </w:r>
      <w:r>
        <w:rPr>
          <w:i w:val="false"/>
          <w:iCs w:val="false"/>
          <w:color w:val="009999"/>
          <w:lang w:val="en-US"/>
        </w:rPr>
        <w:t xml:space="preserve"> la bonne, si une personne non-technique signale un dysfonctionnement, c’est que l’application doit être re-pensée. Je ne possède pas d’avis supérieur par ma simple connaissance de la programmation.</w:t>
      </w:r>
    </w:p>
    <w:p>
      <w:pPr>
        <w:pStyle w:val="Normal"/>
        <w:rPr>
          <w:color w:val="009999"/>
        </w:rPr>
      </w:pPr>
      <w:r>
        <w:rPr>
          <w:color w:val="009999"/>
        </w:rPr>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avoir conscience que dans des situations de collaboration et de travail en équipe, mes collègues peuvent avoir des points de vue différents et des méthodes de travail différentes des miennes,</w:t>
      </w:r>
    </w:p>
    <w:p>
      <w:pPr>
        <w:pStyle w:val="Normal"/>
        <w:rPr/>
      </w:pPr>
      <w:r>
        <w:rPr/>
        <w:t>- pour éviter de considérer mon point de vue ou ma manière de faire comme la meilleure ou seule solution possible pour résoudre un problème,</w:t>
      </w:r>
    </w:p>
    <w:p>
      <w:pPr>
        <w:pStyle w:val="Normal"/>
        <w:rPr/>
      </w:pPr>
      <w:r>
        <w:rPr/>
        <w:t>- pour être en mesure de discuter, de partager avec mes interlocuteurs nos opinions respectives, afin de réussir à trouver une solution et une manière de travail collectives.</w:t>
      </w:r>
    </w:p>
    <w:p>
      <w:pPr>
        <w:pStyle w:val="Normal"/>
        <w:rPr/>
      </w:pPr>
      <w:r>
        <w:rPr/>
        <w:t xml:space="preserve">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 </w:t>
      </w:r>
    </w:p>
    <w:p>
      <w:pPr>
        <w:pStyle w:val="Normal"/>
        <w:rPr>
          <w:color w:val="009999"/>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p>
    <w:p>
      <w:pPr>
        <w:pStyle w:val="Normal"/>
        <w:rPr/>
      </w:pPr>
      <w:r>
        <w:rPr/>
      </w:r>
    </w:p>
    <w:p>
      <w:pPr>
        <w:pStyle w:val="Normal"/>
        <w:spacing w:before="0" w:after="200"/>
        <w:rPr>
          <w:lang w:val="en-US"/>
        </w:rPr>
      </w:pPr>
      <w:r>
        <w:rPr>
          <w:lang w:val="en-US"/>
        </w:rPr>
        <w:t>Je vais continuer à mener des réflexions sur mes expériences négatives et déceler de potentiels biais socioculturels pour les compenser. J’ai conscience que c’est une démarche d’une vie entière, et que chaque progrès compte.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9" w:top="1417" w:footer="709"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4"/>
    </w:sdtPr>
    <w:sdtContent>
      <w:p>
        <w:pPr>
          <w:pStyle w:val="Footer"/>
          <w:jc w:val="right"/>
          <w:rPr/>
        </w:pPr>
        <w:r>
          <w:rPr/>
          <w:fldChar w:fldCharType="begin"/>
        </w:r>
        <w:r>
          <w:rPr/>
          <w:instrText xml:space="preserve"> PAGE </w:instrText>
        </w:r>
        <w:r>
          <w:rPr/>
          <w:fldChar w:fldCharType="separate"/>
        </w:r>
        <w:r>
          <w:rPr/>
          <w:t>13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2"/>
    </w:sdtPr>
    <w:sdtContent>
      <w:p>
        <w:pPr>
          <w:pStyle w:val="Footer"/>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4855210" cy="1524000"/>
          <wp:effectExtent l="0" t="0" r="0" b="0"/>
          <wp:docPr id="1" name="Image 0" descr="En-tete_montgolfie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En-tete_montgolfiere-2.png"/>
                  <pic:cNvPicPr>
                    <a:picLocks noChangeAspect="1" noChangeArrowheads="1"/>
                  </pic:cNvPicPr>
                </pic:nvPicPr>
                <pic:blipFill>
                  <a:blip r:embed="rId1"/>
                  <a:stretch>
                    <a:fillRect/>
                  </a:stretch>
                </pic:blipFill>
                <pic:spPr bwMode="auto">
                  <a:xfrm>
                    <a:off x="0" y="0"/>
                    <a:ext cx="4855210" cy="1524000"/>
                  </a:xfrm>
                  <a:prstGeom prst="rect">
                    <a:avLst/>
                  </a:prstGeom>
                  <a:noFill/>
                </pic:spPr>
              </pic:pic>
            </a:graphicData>
          </a:graphic>
        </wp:inline>
      </w:drawing>
    </w:r>
  </w:p>
  <w:p>
    <w:pPr>
      <w:pStyle w:val="Header"/>
      <w:jc w:val="center"/>
      <w:rPr/>
    </w:pPr>
    <w:r>
      <w:rPr/>
    </w:r>
  </w:p>
  <w:p>
    <w:pPr>
      <w:pStyle w:val="Header"/>
      <w:jc w:val="center"/>
      <w:rPr/>
    </w:pPr>
    <w:r>
      <w:rPr/>
      <w:t xml:space="preserve">Conception et rédaction : </w:t>
    </w:r>
  </w:p>
  <w:p>
    <w:pPr>
      <w:pStyle w:val="Header"/>
      <w:jc w:val="center"/>
      <w:rPr/>
    </w:pPr>
    <w:r>
      <w:rPr/>
      <w:t>Fred Dervin (utilisation avec son aimable autorisation)  et Mélanie Le Forestier</w:t>
    </w:r>
  </w:p>
</w:hdr>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fr-FR" w:eastAsia="ja-JP"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da9"/>
    <w:pPr>
      <w:widowControl/>
      <w:bidi w:val="0"/>
      <w:spacing w:lineRule="auto" w:line="276" w:before="0" w:after="200"/>
      <w:jc w:val="both"/>
    </w:pPr>
    <w:rPr>
      <w:rFonts w:ascii="Calibri" w:hAnsi="Calibri" w:eastAsia="ＭＳ 明朝" w:cs="" w:asciiTheme="minorHAnsi" w:cstheme="minorBidi" w:eastAsiaTheme="minorEastAsia" w:hAnsiTheme="minorHAnsi"/>
      <w:color w:val="auto"/>
      <w:kern w:val="0"/>
      <w:sz w:val="24"/>
      <w:szCs w:val="22"/>
      <w:lang w:val="fr-FR" w:eastAsia="ja-JP"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d07977"/>
    <w:rPr>
      <w:rFonts w:ascii="Tahoma" w:hAnsi="Tahoma" w:cs="Tahoma"/>
      <w:sz w:val="16"/>
      <w:szCs w:val="16"/>
    </w:rPr>
  </w:style>
  <w:style w:type="character" w:styleId="En-tteCar" w:customStyle="1">
    <w:name w:val="En-tête Car"/>
    <w:basedOn w:val="DefaultParagraphFont"/>
    <w:link w:val="Header"/>
    <w:uiPriority w:val="99"/>
    <w:qFormat/>
    <w:rsid w:val="00d07977"/>
    <w:rPr>
      <w:sz w:val="24"/>
    </w:rPr>
  </w:style>
  <w:style w:type="character" w:styleId="PieddepageCar" w:customStyle="1">
    <w:name w:val="Pied de page Car"/>
    <w:basedOn w:val="DefaultParagraphFont"/>
    <w:link w:val="Footer"/>
    <w:uiPriority w:val="99"/>
    <w:qFormat/>
    <w:rsid w:val="00d07977"/>
    <w:rPr>
      <w:sz w:val="24"/>
    </w:rPr>
  </w:style>
  <w:style w:type="character" w:styleId="Hyperlink">
    <w:name w:val="Hyperlink"/>
    <w:basedOn w:val="DefaultParagraphFont"/>
    <w:uiPriority w:val="99"/>
    <w:unhideWhenUsed/>
    <w:rsid w:val="00d0797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TextedebullesCar"/>
    <w:uiPriority w:val="99"/>
    <w:semiHidden/>
    <w:unhideWhenUsed/>
    <w:qFormat/>
    <w:rsid w:val="00d0797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En-tteCar"/>
    <w:uiPriority w:val="99"/>
    <w:unhideWhenUsed/>
    <w:rsid w:val="00d07977"/>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d07977"/>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1e5e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LibreOffice/25.8.3.2$Windows_X86_64 LibreOffice_project/8ca8d55c161d602844f5428fa4b58097424e324e</Application>
  <AppVersion>15.0000</AppVersion>
  <Pages>13</Pages>
  <Words>4269</Words>
  <Characters>22918</Characters>
  <CharactersWithSpaces>27042</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2021-06-25T17:03:00Z</dcterms:created>
  <dc:creator>Mélanie</dc:creator>
  <dc:description/>
  <dc:language>fr-FR</dc:language>
  <cp:lastModifiedBy/>
  <dcterms:modified xsi:type="dcterms:W3CDTF">2025-12-14T17:46:48Z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